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47"/>
        <w:rPr>
          <w:sz w:val="20"/>
        </w:rPr>
      </w:pPr>
      <w:r>
        <w:rPr>
          <w:sz w:val="20"/>
        </w:rPr>
        <w:drawing>
          <wp:inline distT="0" distB="0" distL="0" distR="0">
            <wp:extent cx="1652489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89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 w:after="1"/>
        <w:rPr>
          <w:sz w:val="7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7" w:right="1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3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5"/>
                <w:sz w:val="36"/>
              </w:rPr>
              <w:t> </w:t>
            </w:r>
            <w:r>
              <w:rPr>
                <w:b/>
                <w:sz w:val="36"/>
              </w:rPr>
              <w:t>NOVEMBRO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7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VIDA</w:t>
            </w:r>
            <w:r>
              <w:rPr>
                <w:rFonts w:ascii="Arial"/>
                <w:b/>
                <w:spacing w:val="9"/>
                <w:sz w:val="27"/>
              </w:rPr>
              <w:t> </w:t>
            </w:r>
            <w:r>
              <w:rPr>
                <w:rFonts w:ascii="Arial"/>
                <w:b/>
                <w:spacing w:val="-2"/>
                <w:sz w:val="27"/>
              </w:rPr>
              <w:t>PLENA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JOSEANE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 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4.609,00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ROSELI</w:t>
            </w:r>
            <w:r>
              <w:rPr>
                <w:spacing w:val="-2"/>
                <w:sz w:val="20"/>
              </w:rPr>
              <w:t> HERMENEGILDO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MARKS GONCALVES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2"/>
                <w:sz w:val="20"/>
              </w:rPr>
              <w:t>CONCEIÇAO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PAULA </w:t>
            </w:r>
            <w:r>
              <w:rPr>
                <w:spacing w:val="-2"/>
                <w:sz w:val="20"/>
              </w:rPr>
              <w:t>CAETANO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DALVINEIDE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THIAGO DO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2.318,00</w:t>
            </w:r>
          </w:p>
        </w:tc>
      </w:tr>
      <w:tr>
        <w:trPr>
          <w:trHeight w:val="248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DEJANIR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</w:tbl>
    <w:p>
      <w:pPr>
        <w:pStyle w:val="BodyText"/>
        <w:spacing w:before="10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3307062</wp:posOffset>
            </wp:positionH>
            <wp:positionV relativeFrom="paragraph">
              <wp:posOffset>233502</wp:posOffset>
            </wp:positionV>
            <wp:extent cx="1079454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54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20/12/2025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290036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22.837521pt;width:131.0500pt;height:.1pt;mso-position-horizontal-relative:page;mso-position-vertical-relative:paragraph;z-index:-15728640;mso-wrap-distance-left:0;mso-wrap-distance-right:0" id="docshape1" coordorigin="4626,457" coordsize="2621,0" path="m4626,457l7247,457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2026-02-03T11:50:52Z</dcterms:created>
  <dcterms:modified xsi:type="dcterms:W3CDTF">2026-02-03T11:50:52Z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